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40F" w:rsidRPr="00F9340F" w:rsidRDefault="00F9340F" w:rsidP="00F9340F">
      <w:pPr>
        <w:widowControl/>
        <w:spacing w:line="329" w:lineRule="atLeast"/>
        <w:jc w:val="left"/>
        <w:rPr>
          <w:rFonts w:ascii="黑体" w:eastAsia="黑体" w:hAnsi="黑体" w:cs="Calibri"/>
          <w:color w:val="000000"/>
          <w:kern w:val="0"/>
          <w:sz w:val="32"/>
          <w:szCs w:val="32"/>
        </w:rPr>
      </w:pPr>
      <w:r w:rsidRPr="00F9340F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附件1</w:t>
      </w:r>
      <w:r w:rsidRPr="00F9340F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 </w:t>
      </w:r>
    </w:p>
    <w:p w:rsidR="00F9340F" w:rsidRPr="00F9340F" w:rsidRDefault="00F9340F" w:rsidP="00F9340F">
      <w:pPr>
        <w:widowControl/>
        <w:spacing w:line="580" w:lineRule="atLeast"/>
        <w:jc w:val="center"/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</w:pPr>
      <w:bookmarkStart w:id="0" w:name="_GoBack"/>
      <w:r w:rsidRPr="00F9340F"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  <w:t>实验室安全风险分级表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5"/>
        <w:gridCol w:w="410"/>
        <w:gridCol w:w="7225"/>
      </w:tblGrid>
      <w:tr w:rsidR="00F9340F" w:rsidRPr="00AC092A" w:rsidTr="000C0760">
        <w:trPr>
          <w:trHeight w:val="804"/>
        </w:trPr>
        <w:tc>
          <w:tcPr>
            <w:tcW w:w="85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F9340F" w:rsidRPr="00AC092A" w:rsidRDefault="00F9340F" w:rsidP="000C0760">
            <w:pPr>
              <w:widowControl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b/>
                <w:bCs/>
                <w:spacing w:val="-4"/>
                <w:kern w:val="0"/>
                <w:szCs w:val="21"/>
              </w:rPr>
              <w:t>实验室安全</w:t>
            </w:r>
          </w:p>
          <w:p w:rsidR="00F9340F" w:rsidRPr="00AC092A" w:rsidRDefault="00F9340F" w:rsidP="000C0760">
            <w:pPr>
              <w:widowControl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b/>
                <w:bCs/>
                <w:spacing w:val="-4"/>
                <w:kern w:val="0"/>
                <w:szCs w:val="21"/>
              </w:rPr>
              <w:t>风险级别</w:t>
            </w:r>
            <w:r w:rsidRPr="00AC092A">
              <w:rPr>
                <w:rFonts w:asciiTheme="minorEastAsia" w:hAnsiTheme="minorEastAsia" w:cs="Times New Roman"/>
                <w:b/>
                <w:bCs/>
                <w:spacing w:val="69"/>
                <w:kern w:val="0"/>
                <w:szCs w:val="21"/>
              </w:rPr>
              <w:t> </w:t>
            </w:r>
          </w:p>
        </w:tc>
        <w:tc>
          <w:tcPr>
            <w:tcW w:w="41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b/>
                <w:bCs/>
                <w:spacing w:val="-4"/>
                <w:kern w:val="0"/>
                <w:szCs w:val="21"/>
              </w:rPr>
              <w:t>评价指标</w:t>
            </w:r>
          </w:p>
        </w:tc>
      </w:tr>
      <w:tr w:rsidR="00F9340F" w:rsidRPr="00AC092A" w:rsidTr="000C0760">
        <w:trPr>
          <w:trHeight w:val="3111"/>
        </w:trPr>
        <w:tc>
          <w:tcPr>
            <w:tcW w:w="6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A</w:t>
            </w:r>
            <w:r w:rsidRPr="00AC092A">
              <w:rPr>
                <w:rFonts w:asciiTheme="minorEastAsia" w:hAnsiTheme="minorEastAsia" w:cs="Times New Roman" w:hint="eastAsia"/>
                <w:kern w:val="0"/>
                <w:szCs w:val="21"/>
              </w:rPr>
              <w:t>级</w:t>
            </w:r>
          </w:p>
        </w:tc>
        <w:tc>
          <w:tcPr>
            <w:tcW w:w="437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存放或使用易燃、易爆、高毒、腐蚀危险气体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存放或使用剧毒、易制爆、易制毒化学品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危险化学品（压缩气体或液化气体除外，下同）存量≥80 L</w:t>
            </w:r>
            <w:r w:rsidRPr="00AC092A">
              <w:rPr>
                <w:rFonts w:asciiTheme="minorEastAsia" w:hAnsiTheme="minorEastAsia" w:cs="Times New Roman" w:hint="eastAsia"/>
                <w:spacing w:val="-4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 w:hint="eastAsia"/>
                <w:spacing w:val="-4"/>
                <w:kern w:val="0"/>
                <w:szCs w:val="21"/>
              </w:rPr>
              <w:t>）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易燃易爆性化学品（压缩气体或液化气体除外，下同）存量≥40 L</w:t>
            </w:r>
            <w:r w:rsidRPr="00AC092A">
              <w:rPr>
                <w:rFonts w:asciiTheme="minorEastAsia" w:hAnsiTheme="minorEastAsia" w:cs="Times New Roman" w:hint="eastAsia"/>
                <w:spacing w:val="-4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 w:hint="eastAsia"/>
                <w:spacing w:val="-4"/>
                <w:kern w:val="0"/>
                <w:szCs w:val="21"/>
              </w:rPr>
              <w:t>）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存放或使用第一、二类病原微生物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使用千伏以上高压电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按照《实验室安全风险评价表》评分≥80 </w:t>
            </w:r>
            <w:r w:rsidRPr="00AC092A">
              <w:rPr>
                <w:rFonts w:asciiTheme="minorEastAsia" w:hAnsiTheme="minorEastAsia" w:cs="Times New Roman" w:hint="eastAsia"/>
                <w:spacing w:val="-4"/>
                <w:kern w:val="0"/>
                <w:szCs w:val="21"/>
              </w:rPr>
              <w:t>分</w:t>
            </w:r>
          </w:p>
        </w:tc>
      </w:tr>
      <w:tr w:rsidR="00F9340F" w:rsidRPr="00AC092A" w:rsidTr="000C0760">
        <w:trPr>
          <w:trHeight w:val="1365"/>
        </w:trPr>
        <w:tc>
          <w:tcPr>
            <w:tcW w:w="6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B</w:t>
            </w:r>
            <w:r w:rsidRPr="00AC092A">
              <w:rPr>
                <w:rFonts w:asciiTheme="minorEastAsia" w:hAnsiTheme="minorEastAsia" w:cs="Times New Roman" w:hint="eastAsia"/>
                <w:kern w:val="0"/>
                <w:szCs w:val="21"/>
              </w:rPr>
              <w:t>级</w:t>
            </w:r>
          </w:p>
        </w:tc>
        <w:tc>
          <w:tcPr>
            <w:tcW w:w="437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60</w:t>
            </w:r>
            <w:r w:rsidRPr="00AC092A">
              <w:rPr>
                <w:rFonts w:asciiTheme="minorEastAsia" w:hAnsiTheme="minorEastAsia" w:cs="Times New Roman"/>
                <w:spacing w:val="35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）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≤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危险化学品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存量＜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80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-1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）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30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81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spacing w:val="-78"/>
                <w:kern w:val="0"/>
                <w:szCs w:val="21"/>
              </w:rPr>
              <w:t>）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≤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易燃易爆性化学品存量＜</w:t>
            </w: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40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80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）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存放须办理《特种设备使用登记证》的起重类设备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1"/>
                <w:kern w:val="0"/>
                <w:szCs w:val="21"/>
              </w:rPr>
              <w:t>按照《实验室安全风险评价表》评分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,</w:t>
            </w:r>
            <w:r w:rsidRPr="00AC092A">
              <w:rPr>
                <w:rFonts w:asciiTheme="minorEastAsia" w:hAnsiTheme="minorEastAsia" w:cs="Times New Roman"/>
                <w:spacing w:val="78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60</w:t>
            </w:r>
            <w:r w:rsidRPr="00AC092A">
              <w:rPr>
                <w:rFonts w:asciiTheme="minorEastAsia" w:hAnsiTheme="minorEastAsia" w:cs="Times New Roman"/>
                <w:spacing w:val="-1"/>
                <w:kern w:val="0"/>
                <w:szCs w:val="21"/>
              </w:rPr>
              <w:t>分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≤</w:t>
            </w:r>
            <w:r w:rsidRPr="00AC092A">
              <w:rPr>
                <w:rFonts w:asciiTheme="minorEastAsia" w:hAnsiTheme="minorEastAsia" w:cs="Times New Roman"/>
                <w:spacing w:val="-1"/>
                <w:kern w:val="0"/>
                <w:szCs w:val="21"/>
              </w:rPr>
              <w:t>评分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＜</w:t>
            </w: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80 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分</w:t>
            </w:r>
          </w:p>
        </w:tc>
      </w:tr>
      <w:tr w:rsidR="00F9340F" w:rsidRPr="00AC092A" w:rsidTr="000C0760">
        <w:trPr>
          <w:trHeight w:val="841"/>
        </w:trPr>
        <w:tc>
          <w:tcPr>
            <w:tcW w:w="6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C</w:t>
            </w:r>
            <w:r w:rsidRPr="00AC092A">
              <w:rPr>
                <w:rFonts w:asciiTheme="minorEastAsia" w:hAnsiTheme="minorEastAsia" w:cs="Times New Roman" w:hint="eastAsia"/>
                <w:kern w:val="0"/>
                <w:szCs w:val="21"/>
              </w:rPr>
              <w:t>级</w:t>
            </w:r>
          </w:p>
        </w:tc>
        <w:tc>
          <w:tcPr>
            <w:tcW w:w="437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40</w:t>
            </w:r>
            <w:r w:rsidRPr="00AC092A">
              <w:rPr>
                <w:rFonts w:asciiTheme="minorEastAsia" w:hAnsiTheme="minorEastAsia" w:cs="Times New Roman"/>
                <w:spacing w:val="35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）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≤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危险化学品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存量＜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60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-1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）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20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81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spacing w:val="-78"/>
                <w:kern w:val="0"/>
                <w:szCs w:val="21"/>
              </w:rPr>
              <w:t>）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≤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易燃易爆性化学品存量＜</w:t>
            </w: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30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80"/>
                <w:kern w:val="0"/>
                <w:szCs w:val="21"/>
              </w:rPr>
              <w:t>L</w:t>
            </w:r>
            <w:r w:rsidRPr="00AC092A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（或</w:t>
            </w:r>
            <w:r w:rsidRPr="00AC092A">
              <w:rPr>
                <w:rFonts w:asciiTheme="minorEastAsia" w:hAnsiTheme="minorEastAsia" w:cs="Times New Roman"/>
                <w:spacing w:val="2"/>
                <w:kern w:val="0"/>
                <w:szCs w:val="21"/>
              </w:rPr>
              <w:t> 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Kg</w:t>
            </w: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）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存有传动类、转动类机械设备或强电类设备</w:t>
            </w:r>
          </w:p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按照《实验室安全风险评价表》评分，</w:t>
            </w:r>
            <w:r w:rsidRPr="00AC092A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30</w:t>
            </w:r>
            <w:r w:rsidRPr="00AC092A">
              <w:rPr>
                <w:rFonts w:asciiTheme="minorEastAsia" w:hAnsiTheme="minorEastAsia" w:cs="Times New Roman"/>
                <w:spacing w:val="-1"/>
                <w:kern w:val="0"/>
                <w:szCs w:val="21"/>
              </w:rPr>
              <w:t>分</w:t>
            </w:r>
            <w:r w:rsidRPr="00AC092A">
              <w:rPr>
                <w:rFonts w:asciiTheme="minorEastAsia" w:hAnsiTheme="minorEastAsia" w:cs="Times New Roman"/>
                <w:spacing w:val="-6"/>
                <w:kern w:val="0"/>
                <w:szCs w:val="21"/>
              </w:rPr>
              <w:t>≤</w:t>
            </w:r>
            <w:r w:rsidRPr="00AC092A">
              <w:rPr>
                <w:rFonts w:asciiTheme="minorEastAsia" w:hAnsiTheme="minorEastAsia" w:cs="Times New Roman" w:hint="eastAsia"/>
                <w:spacing w:val="-6"/>
                <w:kern w:val="0"/>
                <w:szCs w:val="21"/>
              </w:rPr>
              <w:t>评分</w:t>
            </w: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＜60 </w:t>
            </w:r>
            <w:r w:rsidRPr="00AC092A">
              <w:rPr>
                <w:rFonts w:asciiTheme="minorEastAsia" w:hAnsiTheme="minorEastAsia" w:cs="Times New Roman" w:hint="eastAsia"/>
                <w:spacing w:val="-2"/>
                <w:kern w:val="0"/>
                <w:szCs w:val="21"/>
              </w:rPr>
              <w:t>分</w:t>
            </w:r>
          </w:p>
        </w:tc>
      </w:tr>
      <w:tr w:rsidR="00F9340F" w:rsidRPr="00AC092A" w:rsidTr="000C0760">
        <w:trPr>
          <w:trHeight w:val="841"/>
        </w:trPr>
        <w:tc>
          <w:tcPr>
            <w:tcW w:w="6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kern w:val="0"/>
                <w:szCs w:val="21"/>
              </w:rPr>
              <w:t>D</w:t>
            </w:r>
            <w:r w:rsidRPr="00AC092A">
              <w:rPr>
                <w:rFonts w:asciiTheme="minorEastAsia" w:hAnsiTheme="minorEastAsia" w:cs="Times New Roman" w:hint="eastAsia"/>
                <w:kern w:val="0"/>
                <w:szCs w:val="21"/>
              </w:rPr>
              <w:t>级</w:t>
            </w:r>
          </w:p>
        </w:tc>
        <w:tc>
          <w:tcPr>
            <w:tcW w:w="437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40F" w:rsidRPr="00AC092A" w:rsidRDefault="00F9340F" w:rsidP="000C0760">
            <w:pPr>
              <w:widowControl/>
              <w:spacing w:line="257" w:lineRule="atLeast"/>
              <w:rPr>
                <w:rFonts w:asciiTheme="minorEastAsia" w:hAnsiTheme="minorEastAsia" w:cs="Calibri"/>
                <w:kern w:val="0"/>
                <w:szCs w:val="21"/>
              </w:rPr>
            </w:pPr>
            <w:r w:rsidRPr="00AC092A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按照《实验室安全风险评价表》评分＜30 </w:t>
            </w:r>
            <w:r w:rsidRPr="00AC092A">
              <w:rPr>
                <w:rFonts w:asciiTheme="minorEastAsia" w:hAnsiTheme="minorEastAsia" w:cs="Times New Roman" w:hint="eastAsia"/>
                <w:spacing w:val="-2"/>
                <w:kern w:val="0"/>
                <w:szCs w:val="21"/>
              </w:rPr>
              <w:t>分</w:t>
            </w:r>
          </w:p>
        </w:tc>
      </w:tr>
    </w:tbl>
    <w:p w:rsidR="00F9340F" w:rsidRPr="00FD3516" w:rsidRDefault="00F9340F" w:rsidP="00F9340F">
      <w:pPr>
        <w:widowControl/>
        <w:spacing w:line="329" w:lineRule="atLeast"/>
        <w:ind w:left="82"/>
        <w:rPr>
          <w:rFonts w:asciiTheme="minorEastAsia" w:hAnsiTheme="minorEastAsia" w:cs="Times New Roman"/>
          <w:color w:val="000000"/>
          <w:spacing w:val="-3"/>
          <w:kern w:val="0"/>
          <w:szCs w:val="21"/>
        </w:rPr>
      </w:pPr>
      <w:r w:rsidRPr="00FD3516">
        <w:rPr>
          <w:rFonts w:asciiTheme="minorEastAsia" w:hAnsiTheme="minorEastAsia" w:cs="Times New Roman" w:hint="eastAsia"/>
          <w:color w:val="000000"/>
          <w:spacing w:val="-3"/>
          <w:kern w:val="0"/>
          <w:szCs w:val="21"/>
        </w:rPr>
        <w:t>注：以每间实验室为单位进行评级。</w:t>
      </w:r>
    </w:p>
    <w:p w:rsidR="00F9340F" w:rsidRPr="00F618FE" w:rsidRDefault="00F9340F" w:rsidP="00F9340F">
      <w:pPr>
        <w:jc w:val="center"/>
        <w:rPr>
          <w:rFonts w:ascii="方正小标宋简体" w:eastAsia="方正小标宋简体" w:hAnsi="黑体" w:cs="Calibri"/>
          <w:color w:val="000000"/>
          <w:kern w:val="0"/>
          <w:sz w:val="44"/>
          <w:szCs w:val="44"/>
        </w:rPr>
      </w:pPr>
    </w:p>
    <w:p w:rsidR="00422E7B" w:rsidRPr="00F9340F" w:rsidRDefault="00F9340F" w:rsidP="00F9340F">
      <w:pPr>
        <w:widowControl/>
        <w:jc w:val="left"/>
        <w:rPr>
          <w:rFonts w:ascii="方正小标宋简体" w:eastAsia="方正小标宋简体" w:hAnsi="黑体" w:cs="Calibri"/>
          <w:color w:val="000000"/>
          <w:kern w:val="0"/>
          <w:sz w:val="44"/>
          <w:szCs w:val="44"/>
        </w:rPr>
      </w:pPr>
    </w:p>
    <w:sectPr w:rsidR="00422E7B" w:rsidRPr="00F9340F" w:rsidSect="00B81F24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40F"/>
    <w:rsid w:val="003C661F"/>
    <w:rsid w:val="005241BD"/>
    <w:rsid w:val="00F9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>China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魏文杰</dc:creator>
  <cp:lastModifiedBy>魏文杰</cp:lastModifiedBy>
  <cp:revision>1</cp:revision>
  <dcterms:created xsi:type="dcterms:W3CDTF">2022-05-23T06:25:00Z</dcterms:created>
  <dcterms:modified xsi:type="dcterms:W3CDTF">2022-05-23T06:26:00Z</dcterms:modified>
</cp:coreProperties>
</file>